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等线" w:eastAsia="方正小标宋简体" w:cs="Times New Roman"/>
          <w:sz w:val="32"/>
          <w:szCs w:val="32"/>
        </w:rPr>
      </w:pPr>
      <w:r>
        <w:rPr>
          <w:rFonts w:hint="eastAsia" w:ascii="方正小标宋简体" w:hAnsi="等线" w:eastAsia="方正小标宋简体" w:cs="Times New Roman"/>
          <w:sz w:val="32"/>
          <w:szCs w:val="32"/>
        </w:rPr>
        <w:t>惠东嘉华安全生产管理系统二次开发需求分析</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1906"/>
        <w:gridCol w:w="3886"/>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860" w:type="dxa"/>
            <w:tcBorders>
              <w:top w:val="single" w:color="auto" w:sz="4" w:space="0"/>
              <w:left w:val="single" w:color="auto" w:sz="4" w:space="0"/>
              <w:bottom w:val="single" w:color="auto" w:sz="4" w:space="0"/>
              <w:right w:val="single" w:color="auto" w:sz="4" w:space="0"/>
            </w:tcBorders>
            <w:noWrap/>
          </w:tcPr>
          <w:p>
            <w:pPr>
              <w:jc w:val="center"/>
              <w:rPr>
                <w:rFonts w:ascii="仿宋_GB2312" w:hAnsi="等线" w:eastAsia="仿宋_GB2312" w:cs="Times New Roman"/>
                <w:b/>
                <w:bCs/>
                <w:sz w:val="28"/>
                <w:szCs w:val="28"/>
              </w:rPr>
            </w:pPr>
            <w:r>
              <w:rPr>
                <w:rFonts w:hint="eastAsia" w:ascii="仿宋_GB2312" w:hAnsi="等线" w:eastAsia="仿宋_GB2312" w:cs="Times New Roman"/>
                <w:b/>
                <w:bCs/>
                <w:sz w:val="28"/>
                <w:szCs w:val="28"/>
              </w:rPr>
              <w:t>模块</w:t>
            </w:r>
          </w:p>
        </w:tc>
        <w:tc>
          <w:tcPr>
            <w:tcW w:w="1906" w:type="dxa"/>
            <w:tcBorders>
              <w:top w:val="single" w:color="auto" w:sz="4" w:space="0"/>
              <w:left w:val="single" w:color="auto" w:sz="4" w:space="0"/>
              <w:bottom w:val="single" w:color="auto" w:sz="4" w:space="0"/>
              <w:right w:val="single" w:color="auto" w:sz="4" w:space="0"/>
            </w:tcBorders>
            <w:noWrap/>
          </w:tcPr>
          <w:p>
            <w:pPr>
              <w:jc w:val="center"/>
              <w:rPr>
                <w:rFonts w:ascii="仿宋_GB2312" w:hAnsi="等线" w:eastAsia="仿宋_GB2312" w:cs="Times New Roman"/>
                <w:b/>
                <w:bCs/>
                <w:sz w:val="28"/>
                <w:szCs w:val="28"/>
              </w:rPr>
            </w:pPr>
            <w:r>
              <w:rPr>
                <w:rFonts w:hint="eastAsia" w:ascii="仿宋_GB2312" w:hAnsi="等线" w:eastAsia="仿宋_GB2312" w:cs="Times New Roman"/>
                <w:b/>
                <w:bCs/>
                <w:sz w:val="28"/>
                <w:szCs w:val="28"/>
              </w:rPr>
              <w:t>项目</w:t>
            </w:r>
          </w:p>
        </w:tc>
        <w:tc>
          <w:tcPr>
            <w:tcW w:w="3886" w:type="dxa"/>
            <w:tcBorders>
              <w:top w:val="single" w:color="auto" w:sz="4" w:space="0"/>
              <w:left w:val="single" w:color="auto" w:sz="4" w:space="0"/>
              <w:bottom w:val="single" w:color="auto" w:sz="4" w:space="0"/>
              <w:right w:val="single" w:color="auto" w:sz="4" w:space="0"/>
            </w:tcBorders>
            <w:noWrap/>
          </w:tcPr>
          <w:p>
            <w:pPr>
              <w:jc w:val="center"/>
              <w:rPr>
                <w:rFonts w:ascii="仿宋_GB2312" w:hAnsi="等线" w:eastAsia="仿宋_GB2312" w:cs="Times New Roman"/>
                <w:b/>
                <w:bCs/>
                <w:sz w:val="28"/>
                <w:szCs w:val="28"/>
              </w:rPr>
            </w:pPr>
            <w:r>
              <w:rPr>
                <w:rFonts w:hint="eastAsia" w:ascii="仿宋_GB2312" w:hAnsi="等线" w:eastAsia="仿宋_GB2312" w:cs="Times New Roman"/>
                <w:b/>
                <w:bCs/>
                <w:sz w:val="28"/>
                <w:szCs w:val="28"/>
              </w:rPr>
              <w:t>其他说明</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b/>
                <w:bCs/>
                <w:sz w:val="28"/>
                <w:szCs w:val="28"/>
                <w:lang w:val="en-US" w:eastAsia="zh-CN"/>
              </w:rPr>
            </w:pPr>
            <w:r>
              <w:rPr>
                <w:rFonts w:hint="eastAsia" w:ascii="仿宋_GB2312" w:hAnsi="宋体" w:eastAsia="仿宋_GB2312" w:cs="仿宋_GB2312"/>
                <w:b/>
                <w:i w:val="0"/>
                <w:color w:val="000000"/>
                <w:kern w:val="0"/>
                <w:sz w:val="28"/>
                <w:szCs w:val="28"/>
                <w:u w:val="none"/>
                <w:lang w:val="en-US" w:eastAsia="zh-CN" w:bidi="ar"/>
              </w:rPr>
              <w:t>工作量(人日数)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对接</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与惠东内部其他系统进行对接</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highlight w:val="yellow"/>
              </w:rPr>
              <w:t>提供相应的接口和文档，具体接口要求需惠东提供</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highlight w:val="yellow"/>
                <w:lang w:val="en-US" w:eastAsia="zh-CN"/>
              </w:rPr>
            </w:pPr>
            <w:r>
              <w:rPr>
                <w:rFonts w:hint="eastAsia" w:ascii="仿宋_GB2312" w:hAnsi="宋体" w:eastAsia="仿宋_GB2312" w:cs="仿宋_GB2312"/>
                <w:i w:val="0"/>
                <w:color w:val="000000"/>
                <w:kern w:val="0"/>
                <w:sz w:val="28"/>
                <w:szCs w:val="28"/>
                <w:u w:val="none"/>
                <w:lang w:val="en-US" w:eastAsia="zh-CN" w:bidi="ar"/>
              </w:rPr>
              <w:t>根据需求，暂时未确定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整体</w:t>
            </w:r>
          </w:p>
        </w:tc>
        <w:tc>
          <w:tcPr>
            <w:tcW w:w="1906" w:type="dxa"/>
            <w:tcBorders>
              <w:top w:val="single" w:color="auto" w:sz="4" w:space="0"/>
              <w:left w:val="single" w:color="auto" w:sz="4" w:space="0"/>
              <w:bottom w:val="single" w:color="auto" w:sz="4" w:space="0"/>
              <w:right w:val="single" w:color="auto" w:sz="4" w:space="0"/>
            </w:tcBorders>
            <w:noWrap/>
            <w:vAlign w:val="center"/>
          </w:tcPr>
          <w:p>
            <w:pPr>
              <w:rPr>
                <w:rFonts w:ascii="仿宋_GB2312" w:hAnsi="等线" w:eastAsia="仿宋_GB2312" w:cs="Times New Roman"/>
                <w:sz w:val="28"/>
                <w:szCs w:val="28"/>
              </w:rPr>
            </w:pPr>
            <w:r>
              <w:rPr>
                <w:rFonts w:hint="eastAsia" w:ascii="仿宋_GB2312" w:hAnsi="等线" w:eastAsia="仿宋_GB2312" w:cs="Times New Roman"/>
                <w:sz w:val="28"/>
                <w:szCs w:val="28"/>
              </w:rPr>
              <w:t>筛选条件-模糊查询</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筛选条件可清空重置，非选择项支持模糊查询</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1</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文件、图片上传等支持多选择</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隐患排查</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加入危险有害因素分类(人物环管)</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依据GB13861-2009;员工提交有误可由管理者修改</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细分隐患类别(现场管理类、基础管理类等)</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依据隐患排查通用上报标准;员工提交有误可由管理者修改</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检查表添加细分项进行处理</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调隐患流程进行处理</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检查地点非必填或可多选区域</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检查时间调整为检查时间段</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hint="default" w:ascii="等线" w:hAnsi="等线" w:eastAsia="等线" w:cs="宋体"/>
                <w:lang w:val="en-US" w:eastAsia="zh-CN"/>
              </w:rPr>
            </w:pPr>
            <w:r>
              <w:rPr>
                <w:rFonts w:hint="eastAsia" w:ascii="仿宋_GB2312" w:hAnsi="等线" w:eastAsia="仿宋_GB2312" w:cs="Times New Roman"/>
                <w:sz w:val="28"/>
                <w:szCs w:val="28"/>
                <w:lang w:val="en-US" w:eastAsia="zh-CN"/>
              </w:rPr>
              <w:t>员工手动选择</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pc端隐患新增隐患区域选项</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对标功能增加矿山标准</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系统增加露天矿山评定标准，用于隐患的对标</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确认默认通过;无隐患无需确认</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小程序端检查任务标记已验收</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行为观察</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反馈到被观察人并经其确认，并反馈到双方上一级</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现有的安全观察结果信息由观察人反馈给被观察人和观察人的上一级人员</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共识和改进作为必填项</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提供数据字典可供选择</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观察的具体项目可修改</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数据字典可编辑</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事故事件</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增加事故记录</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增加事故类型等必要字段</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vAlign w:val="center"/>
          </w:tcPr>
          <w:p>
            <w:pPr>
              <w:rPr>
                <w:rFonts w:ascii="仿宋_GB2312" w:hAnsi="等线" w:eastAsia="仿宋_GB2312" w:cs="Times New Roman"/>
                <w:sz w:val="28"/>
                <w:szCs w:val="28"/>
              </w:rPr>
            </w:pPr>
            <w:r>
              <w:rPr>
                <w:rFonts w:hint="eastAsia" w:ascii="仿宋_GB2312" w:hAnsi="等线" w:eastAsia="仿宋_GB2312" w:cs="Times New Roman"/>
                <w:sz w:val="28"/>
                <w:szCs w:val="28"/>
              </w:rPr>
              <w:t>事故和事件增加处理流程</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当事人填报事故信息，安环部（梁总）确认事故等级，成立调查组，形成调查报告，转至相关责任人</w:t>
            </w:r>
          </w:p>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按领导-调查组-隐患整改-总结流程进行处理</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增加事故事件回顾学习记录</w:t>
            </w:r>
          </w:p>
        </w:tc>
        <w:tc>
          <w:tcPr>
            <w:tcW w:w="3886" w:type="dxa"/>
            <w:tcBorders>
              <w:top w:val="single" w:color="auto" w:sz="4" w:space="0"/>
              <w:left w:val="single" w:color="auto" w:sz="4" w:space="0"/>
              <w:bottom w:val="single" w:color="auto" w:sz="4" w:space="0"/>
              <w:right w:val="single" w:color="auto" w:sz="4" w:space="0"/>
            </w:tcBorders>
            <w:noWrap/>
            <w:vAlign w:val="center"/>
          </w:tcPr>
          <w:p>
            <w:pPr>
              <w:rPr>
                <w:rFonts w:ascii="仿宋_GB2312" w:hAnsi="等线" w:eastAsia="仿宋_GB2312" w:cs="Times New Roman"/>
                <w:sz w:val="28"/>
                <w:szCs w:val="28"/>
              </w:rPr>
            </w:pPr>
            <w:r>
              <w:rPr>
                <w:rFonts w:hint="eastAsia" w:ascii="仿宋_GB2312" w:hAnsi="等线" w:eastAsia="仿宋_GB2312" w:cs="Times New Roman"/>
                <w:sz w:val="28"/>
                <w:szCs w:val="28"/>
              </w:rPr>
              <w:t>事故事件通知到全体人员</w:t>
            </w:r>
          </w:p>
        </w:tc>
        <w:tc>
          <w:tcPr>
            <w:tcW w:w="1868" w:type="dxa"/>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both"/>
              <w:textAlignment w:val="center"/>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特种证书</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证书查询定时任务执行</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教育培训</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增加年度培训计划及月度培训计划</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培训计划能够统计计划执行情况以及员工参加情况</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授课人和填报人可进行培训评估</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授课人和信息填报人都可进行培训评估，支持移动端评估</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培训效果评估</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参加培训的人员对培训效果进行评估</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培训二次签到</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可配置培训间签到或结束签到</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增加简易在线教育功能</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上传ppt、pdf课件供员工在线学习，以及学习后的考试</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设备设施</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如有异常问题必填描述或上传图片</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在线考试</w:t>
            </w:r>
          </w:p>
        </w:tc>
        <w:tc>
          <w:tcPr>
            <w:tcW w:w="1906" w:type="dxa"/>
            <w:tcBorders>
              <w:top w:val="single" w:color="auto" w:sz="4" w:space="0"/>
              <w:left w:val="single" w:color="auto" w:sz="4" w:space="0"/>
              <w:bottom w:val="single" w:color="auto" w:sz="4" w:space="0"/>
              <w:right w:val="single" w:color="auto" w:sz="4" w:space="0"/>
            </w:tcBorders>
            <w:noWrap/>
            <w:vAlign w:val="center"/>
          </w:tcPr>
          <w:p>
            <w:pPr>
              <w:rPr>
                <w:rFonts w:ascii="仿宋_GB2312" w:hAnsi="等线" w:eastAsia="仿宋_GB2312" w:cs="Times New Roman"/>
                <w:sz w:val="28"/>
                <w:szCs w:val="28"/>
              </w:rPr>
            </w:pPr>
            <w:r>
              <w:rPr>
                <w:rFonts w:hint="eastAsia" w:ascii="仿宋_GB2312" w:hAnsi="等线" w:eastAsia="仿宋_GB2312" w:cs="Times New Roman"/>
                <w:sz w:val="28"/>
                <w:szCs w:val="28"/>
              </w:rPr>
              <w:t>题目复制功能</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从共享题库中复制题目到本公司题库</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上传考题时增加图片等多媒体功能</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风险管理</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增加剩余风险</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岗位安全考核</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岗位员工的安全绩效考核</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增加安全绩效考核模块，系统自动统计员工的安全绩效，按照岗位、人员姓名查询</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应急管理</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与应急演练预案等合并成应急管理模块</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highlight w:val="yellow"/>
              </w:rPr>
              <w:t>按照安全标准化有关应急管理内容开发</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highlight w:val="yellow"/>
                <w:lang w:val="en-US" w:eastAsia="zh-CN"/>
              </w:rPr>
            </w:pPr>
            <w:r>
              <w:rPr>
                <w:rFonts w:hint="eastAsia" w:ascii="仿宋_GB2312" w:hAnsi="宋体" w:eastAsia="仿宋_GB2312" w:cs="仿宋_GB2312"/>
                <w:i w:val="0"/>
                <w:color w:val="000000"/>
                <w:kern w:val="0"/>
                <w:sz w:val="28"/>
                <w:szCs w:val="28"/>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文件上传、回执提醒等</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相关方管理</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增加承包商管理</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包括</w:t>
            </w:r>
            <w:r>
              <w:rPr>
                <w:rFonts w:hint="eastAsia" w:ascii="仿宋_GB2312" w:hAnsi="等线" w:eastAsia="仿宋_GB2312" w:cs="Times New Roman"/>
                <w:sz w:val="28"/>
                <w:szCs w:val="28"/>
                <w:lang w:val="en-US" w:eastAsia="zh-CN"/>
              </w:rPr>
              <w:t>合同方</w:t>
            </w:r>
            <w:r>
              <w:rPr>
                <w:rFonts w:hint="eastAsia" w:ascii="仿宋_GB2312" w:hAnsi="等线" w:eastAsia="仿宋_GB2312" w:cs="Times New Roman"/>
                <w:sz w:val="28"/>
                <w:szCs w:val="28"/>
              </w:rPr>
              <w:t>入厂登记表、安全协议、施工方案、承诺书、作业证书、培训、考核、准入场证书生成、合同方设备检查表、安全绩效评价等</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统计分析</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按个人统计安全数据</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包括个人填报的隐患、事件、观察，参加的培训等，用于企业安全考核</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5792" w:type="dxa"/>
            <w:gridSpan w:val="2"/>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highlight w:val="yellow"/>
              </w:rPr>
              <w:t>责任制体现在安全数据(目标值和完成值等)</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highlight w:val="yellow"/>
                <w:lang w:val="en-US" w:eastAsia="zh-CN"/>
              </w:rPr>
            </w:pPr>
            <w:r>
              <w:rPr>
                <w:rFonts w:hint="eastAsia" w:ascii="仿宋_GB2312" w:hAnsi="宋体" w:eastAsia="仿宋_GB2312" w:cs="仿宋_GB2312"/>
                <w:i w:val="0"/>
                <w:color w:val="000000"/>
                <w:kern w:val="0"/>
                <w:sz w:val="28"/>
                <w:szCs w:val="28"/>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等线" w:eastAsia="仿宋_GB2312" w:cs="Times New Roman"/>
                <w:sz w:val="28"/>
                <w:szCs w:val="28"/>
              </w:rPr>
            </w:pP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增加设备巡检统计分析</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统计要素可由惠东详细提出</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default"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合理化建议</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合理化建议的闭环管理</w:t>
            </w:r>
          </w:p>
        </w:tc>
        <w:tc>
          <w:tcPr>
            <w:tcW w:w="388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能跟踪提交的经审核采纳的建议整改流程，对建议进行闭环管理</w:t>
            </w: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仿宋_GB2312" w:hAnsi="等线" w:eastAsia="仿宋_GB2312" w:cs="Times New Roman"/>
                <w:sz w:val="28"/>
                <w:szCs w:val="28"/>
                <w:lang w:val="en-US" w:eastAsia="zh-CN"/>
              </w:rPr>
            </w:pPr>
            <w:r>
              <w:rPr>
                <w:rFonts w:hint="eastAsia" w:ascii="仿宋_GB2312" w:hAnsi="宋体" w:eastAsia="仿宋_GB2312" w:cs="仿宋_GB2312"/>
                <w:i w:val="0"/>
                <w:color w:val="000000"/>
                <w:kern w:val="0"/>
                <w:sz w:val="28"/>
                <w:szCs w:val="28"/>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860"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等线" w:eastAsia="仿宋_GB2312" w:cs="Times New Roman"/>
                <w:sz w:val="28"/>
                <w:szCs w:val="28"/>
              </w:rPr>
            </w:pPr>
            <w:r>
              <w:rPr>
                <w:rFonts w:hint="eastAsia" w:ascii="仿宋_GB2312" w:hAnsi="等线" w:eastAsia="仿宋_GB2312" w:cs="Times New Roman"/>
                <w:sz w:val="28"/>
                <w:szCs w:val="28"/>
              </w:rPr>
              <w:t>其他</w:t>
            </w:r>
          </w:p>
        </w:tc>
        <w:tc>
          <w:tcPr>
            <w:tcW w:w="1906" w:type="dxa"/>
            <w:tcBorders>
              <w:top w:val="single" w:color="auto" w:sz="4" w:space="0"/>
              <w:left w:val="single" w:color="auto" w:sz="4" w:space="0"/>
              <w:bottom w:val="single" w:color="auto" w:sz="4" w:space="0"/>
              <w:right w:val="single" w:color="auto" w:sz="4" w:space="0"/>
            </w:tcBorders>
            <w:noWrap/>
          </w:tcPr>
          <w:p>
            <w:pPr>
              <w:jc w:val="left"/>
              <w:rPr>
                <w:rFonts w:ascii="仿宋_GB2312" w:hAnsi="等线" w:eastAsia="仿宋_GB2312" w:cs="Times New Roman"/>
                <w:sz w:val="28"/>
                <w:szCs w:val="28"/>
              </w:rPr>
            </w:pPr>
            <w:r>
              <w:rPr>
                <w:rFonts w:hint="eastAsia" w:ascii="仿宋_GB2312" w:hAnsi="等线" w:eastAsia="仿宋_GB2312" w:cs="Times New Roman"/>
                <w:sz w:val="28"/>
                <w:szCs w:val="28"/>
              </w:rPr>
              <w:t>制度、操作规程等增加接受确认功能</w:t>
            </w:r>
          </w:p>
        </w:tc>
        <w:tc>
          <w:tcPr>
            <w:tcW w:w="3886" w:type="dxa"/>
            <w:tcBorders>
              <w:top w:val="single" w:color="auto" w:sz="4" w:space="0"/>
              <w:left w:val="single" w:color="auto" w:sz="4" w:space="0"/>
              <w:bottom w:val="single" w:color="auto" w:sz="4" w:space="0"/>
              <w:right w:val="single" w:color="auto" w:sz="4" w:space="0"/>
            </w:tcBorders>
            <w:noWrap/>
          </w:tcPr>
          <w:p>
            <w:pPr>
              <w:widowControl/>
              <w:jc w:val="left"/>
              <w:rPr>
                <w:rFonts w:ascii="等线" w:hAnsi="等线" w:eastAsia="等线" w:cs="宋体"/>
              </w:rPr>
            </w:pPr>
          </w:p>
        </w:tc>
        <w:tc>
          <w:tcPr>
            <w:tcW w:w="1868" w:type="dxa"/>
            <w:tcBorders>
              <w:top w:val="single" w:color="auto" w:sz="4" w:space="0"/>
              <w:left w:val="single" w:color="auto" w:sz="4" w:space="0"/>
              <w:bottom w:val="single" w:color="auto" w:sz="4" w:space="0"/>
              <w:right w:val="single" w:color="auto" w:sz="4" w:space="0"/>
            </w:tcBorders>
            <w:noWrap/>
            <w:vAlign w:val="top"/>
          </w:tcPr>
          <w:p>
            <w:pPr>
              <w:keepNext w:val="0"/>
              <w:keepLines w:val="0"/>
              <w:widowControl/>
              <w:suppressLineNumbers w:val="0"/>
              <w:jc w:val="left"/>
              <w:textAlignment w:val="top"/>
              <w:rPr>
                <w:rFonts w:hint="eastAsia" w:ascii="等线" w:hAnsi="等线" w:eastAsia="等线" w:cs="宋体"/>
                <w:lang w:val="en-US" w:eastAsia="zh-CN"/>
              </w:rPr>
            </w:pPr>
            <w:r>
              <w:rPr>
                <w:rFonts w:hint="eastAsia" w:ascii="等线" w:hAnsi="等线" w:eastAsia="等线" w:cs="等线"/>
                <w:i w:val="0"/>
                <w:color w:val="000000"/>
                <w:kern w:val="0"/>
                <w:sz w:val="21"/>
                <w:szCs w:val="21"/>
                <w:u w:val="none"/>
                <w:lang w:val="en-US" w:eastAsia="zh-CN" w:bidi="ar"/>
              </w:rPr>
              <w:t>3</w:t>
            </w:r>
          </w:p>
        </w:tc>
      </w:tr>
    </w:tbl>
    <w:p>
      <w:pPr>
        <w:ind w:firstLine="560" w:firstLineChars="200"/>
        <w:jc w:val="left"/>
        <w:rPr>
          <w:rFonts w:hint="eastAsia" w:ascii="仿宋_GB2312" w:hAnsi="等线" w:eastAsia="仿宋_GB2312" w:cs="Times New Roman"/>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BA8"/>
    <w:rsid w:val="00303BA8"/>
    <w:rsid w:val="00364339"/>
    <w:rsid w:val="00632FB6"/>
    <w:rsid w:val="006F6AE5"/>
    <w:rsid w:val="00F878D6"/>
    <w:rsid w:val="05074DA2"/>
    <w:rsid w:val="4A3A6C26"/>
    <w:rsid w:val="4AA10E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table" w:styleId="3">
    <w:name w:val="Table Grid"/>
    <w:basedOn w:val="2"/>
    <w:uiPriority w:val="39"/>
    <w:rPr>
      <w:rFonts w:ascii="等线" w:hAnsi="等线" w:eastAsia="等线"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186</Words>
  <Characters>1065</Characters>
  <Lines>8</Lines>
  <Paragraphs>2</Paragraphs>
  <TotalTime>1</TotalTime>
  <ScaleCrop>false</ScaleCrop>
  <LinksUpToDate>false</LinksUpToDate>
  <CharactersWithSpaces>1249</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2020-10-26T02:36:00Z</dcterms:created>
  <dc:creator>dxm</dc:creator>
  <cp:lastModifiedBy>曹前明</cp:lastModifiedBy>
  <dcterms:modified xsi:type="dcterms:W3CDTF">2020-11-02T01:48:35Z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